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999c1b"/>
          <w:sz w:val="40"/>
          <w:szCs w:val="4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999c1b"/>
          <w:sz w:val="40"/>
          <w:szCs w:val="40"/>
        </w:rPr>
      </w:pPr>
      <w:r w:rsidDel="00000000" w:rsidR="00000000" w:rsidRPr="00000000">
        <w:rPr>
          <w:rFonts w:ascii="Arial" w:cs="Arial" w:eastAsia="Arial" w:hAnsi="Arial"/>
          <w:b w:val="1"/>
          <w:color w:val="999c1b"/>
          <w:sz w:val="40"/>
          <w:szCs w:val="40"/>
          <w:rtl w:val="0"/>
        </w:rPr>
        <w:t xml:space="preserve">Job Description and Person Specification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Job Title: </w:t>
      </w:r>
      <w:r w:rsidDel="00000000" w:rsidR="00000000" w:rsidRPr="00000000">
        <w:rPr>
          <w:rFonts w:ascii="Arial" w:cs="Arial" w:eastAsia="Arial" w:hAnsi="Arial"/>
          <w:sz w:val="28"/>
          <w:szCs w:val="28"/>
          <w:rtl w:val="0"/>
        </w:rPr>
        <w:t xml:space="preserve">Community Connector (Disability Sport and Physical Activity)</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76"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Salary</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£20,653 pro-rata (£28,914 FTE)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Hours of work: </w:t>
      </w:r>
      <w:r w:rsidDel="00000000" w:rsidR="00000000" w:rsidRPr="00000000">
        <w:rPr>
          <w:rFonts w:ascii="Arial" w:cs="Arial" w:eastAsia="Arial" w:hAnsi="Arial"/>
          <w:color w:val="000000"/>
          <w:sz w:val="28"/>
          <w:szCs w:val="28"/>
          <w:rtl w:val="0"/>
        </w:rPr>
        <w:t xml:space="preserve">25 hours per week</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Responsible to: </w:t>
      </w:r>
      <w:r w:rsidDel="00000000" w:rsidR="00000000" w:rsidRPr="00000000">
        <w:rPr>
          <w:rFonts w:ascii="Arial" w:cs="Arial" w:eastAsia="Arial" w:hAnsi="Arial"/>
          <w:color w:val="000000"/>
          <w:sz w:val="28"/>
          <w:szCs w:val="28"/>
          <w:rtl w:val="0"/>
        </w:rPr>
        <w:t xml:space="preserve">DIAL Chief Executive Officer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Reporting to</w:t>
      </w:r>
      <w:r w:rsidDel="00000000" w:rsidR="00000000" w:rsidRPr="00000000">
        <w:rPr>
          <w:rFonts w:ascii="Arial" w:cs="Arial" w:eastAsia="Arial" w:hAnsi="Arial"/>
          <w:sz w:val="28"/>
          <w:szCs w:val="28"/>
          <w:rtl w:val="0"/>
        </w:rPr>
        <w:t xml:space="preserve">: BMBC Sport &amp; Physical Activity Officer</w:t>
      </w:r>
    </w:p>
    <w:p w:rsidR="00000000" w:rsidDel="00000000" w:rsidP="00000000" w:rsidRDefault="00000000" w:rsidRPr="00000000" w14:paraId="00000009">
      <w:pP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Contract: </w:t>
      </w:r>
      <w:r w:rsidDel="00000000" w:rsidR="00000000" w:rsidRPr="00000000">
        <w:rPr>
          <w:rFonts w:ascii="Arial" w:cs="Arial" w:eastAsia="Arial" w:hAnsi="Arial"/>
          <w:sz w:val="28"/>
          <w:szCs w:val="28"/>
          <w:rtl w:val="0"/>
        </w:rPr>
        <w:t xml:space="preserve">Fixed term post until 31st October 2026, with the intention of extension subject to the confirmation of future investment by the funder, Sport England.</w:t>
      </w:r>
    </w:p>
    <w:p w:rsidR="00000000" w:rsidDel="00000000" w:rsidP="00000000" w:rsidRDefault="00000000" w:rsidRPr="00000000" w14:paraId="0000000A">
      <w:pPr>
        <w:widowControl w:val="0"/>
        <w:tabs>
          <w:tab w:val="left" w:leader="none" w:pos="134"/>
          <w:tab w:val="center" w:leader="none" w:pos="4513"/>
        </w:tabs>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Benefits:</w:t>
      </w:r>
      <w:r w:rsidDel="00000000" w:rsidR="00000000" w:rsidRPr="00000000">
        <w:rPr>
          <w:rFonts w:ascii="Arial" w:cs="Arial" w:eastAsia="Arial" w:hAnsi="Arial"/>
          <w:sz w:val="28"/>
          <w:szCs w:val="28"/>
          <w:rtl w:val="0"/>
        </w:rPr>
        <w:t xml:space="preserve"> 8% employer pension contribution, flexible working, 5 weeks annual leave and up to 4 weeks paid annual leave for carers (pro rata)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76" w:lineRule="auto"/>
        <w:rPr>
          <w:rFonts w:ascii="Arial" w:cs="Arial" w:eastAsia="Arial" w:hAnsi="Arial"/>
          <w:b w:val="1"/>
          <w:color w:val="6e6259"/>
          <w:sz w:val="28"/>
          <w:szCs w:val="28"/>
        </w:rPr>
      </w:pPr>
      <w:r w:rsidDel="00000000" w:rsidR="00000000" w:rsidRPr="00000000">
        <w:rPr>
          <w:rFonts w:ascii="Arial" w:cs="Arial" w:eastAsia="Arial" w:hAnsi="Arial"/>
          <w:b w:val="1"/>
          <w:color w:val="6e6259"/>
          <w:sz w:val="28"/>
          <w:szCs w:val="28"/>
          <w:rtl w:val="0"/>
        </w:rPr>
        <w:t xml:space="preserve">Overview of the Post</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An exciting role has arisen hosted by DIAL in partnership with the Sport &amp; Physical Activity team working on behalf of the Disability Sport and Physical Activity and Active in Barnsley partnership. You will help improve the physical activity levels and wellbeing of disabled people in Barnsley by connecting them to inclusive opportunities in the community.</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role involves working with a range of partners, building partnerships, supporting the development of new activities, advocacy and direct support to ensure access to physical activity for people with disabilities or long-term health conditions. As a Community Connector, you will be key to ensuring the views and needs of the local disabled community are understood and acted upon to help people to Move More. Live Well. Feel Better.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rPr>
          <w:rFonts w:ascii="Arial" w:cs="Arial" w:eastAsia="Arial" w:hAnsi="Arial"/>
          <w:b w:val="1"/>
          <w:color w:val="6e6259"/>
          <w:sz w:val="28"/>
          <w:szCs w:val="28"/>
        </w:rPr>
      </w:pPr>
      <w:r w:rsidDel="00000000" w:rsidR="00000000" w:rsidRPr="00000000">
        <w:rPr>
          <w:rFonts w:ascii="Arial" w:cs="Arial" w:eastAsia="Arial" w:hAnsi="Arial"/>
          <w:b w:val="1"/>
          <w:color w:val="6e6259"/>
          <w:sz w:val="28"/>
          <w:szCs w:val="28"/>
          <w:rtl w:val="0"/>
        </w:rPr>
        <w:t xml:space="preserve">Key Responsibilities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76" w:lineRule="auto"/>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Community Engagement:</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Build relationships with local disability groups, schools, sports clubs, and health services.</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Lead and sustain engagement with disabled people to co-create activity opportunities.</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Act as a local advocate for disability sport and physical activity, representing the voices of disabled people in planning and decision-making.</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Attend and support local events to raise awareness of inclusive opportunities and encourage participation.</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76" w:lineRule="auto"/>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Support &amp; Advocacy:</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Provide tailored support and guidance to individuals to help them access suitable sport and physical activity.</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Act as a liaison between disabled residents and activity providers.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Identify and address barriers to participation, advocating for inclusive practices in services and venues.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Programme and Partnership Development:</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Assist in the design and delivery of inclusive activities that respond to local needs.</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Work with local authorities, voluntary organisations, and health professionals to develop joined-up provision.</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Support training for coaches, volunteers, and organisations in disability awareness and inclusive practices.</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Contribute to funding applications and sustainability plans for long-term delivery.</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Promotion and Communication:</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Help promote local sport and physical activity opportunities through accessible communications and outreach.</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Share positive stories and case studies that inspire and raise awareness of what’s available locally.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0" w:firstLine="0"/>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Monitoring, Evaluation, and Reporting</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Collect data and feedback to evaluate the impact of initiatives using tools such as Upshot.</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Maintain an engagement and learning log to capture insight and inform future improvements.</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Report on participation levels, satisfaction, and identified needs to support learning and accountability.</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76" w:lineRule="auto"/>
        <w:ind w:left="0" w:firstLine="0"/>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Strategic and Partnership Responsibilities (Move More Partnership)</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Support the development and delivery of the local Move More Delivery Plan.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Map and maintain a directory of inclusive local and borough-wide activity providers.</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Help manage and promote the use of local investment funding for inclusive activities.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Support monitoring and evaluation of the overall Move More approach and contribute to reporting on outcomes and learning.</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5">
      <w:pPr>
        <w:spacing w:after="0" w:line="276" w:lineRule="auto"/>
        <w:rPr>
          <w:rFonts w:ascii="Arial" w:cs="Arial" w:eastAsia="Arial" w:hAnsi="Arial"/>
          <w:b w:val="1"/>
          <w:color w:val="000000"/>
          <w:sz w:val="28"/>
          <w:szCs w:val="28"/>
        </w:rPr>
      </w:pPr>
      <w:r w:rsidDel="00000000" w:rsidR="00000000" w:rsidRPr="00000000">
        <w:rPr>
          <w:rFonts w:ascii="Arial" w:cs="Arial" w:eastAsia="Arial" w:hAnsi="Arial"/>
          <w:b w:val="1"/>
          <w:color w:val="6e6259"/>
          <w:sz w:val="32"/>
          <w:szCs w:val="32"/>
          <w:rtl w:val="0"/>
        </w:rPr>
        <w:t xml:space="preserve">Skills and Experience Criteria</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rPr>
          <w:rFonts w:ascii="Arial" w:cs="Arial" w:eastAsia="Arial" w:hAnsi="Arial"/>
          <w:b w:val="1"/>
          <w:color w:val="000000"/>
          <w:sz w:val="28"/>
          <w:szCs w:val="28"/>
        </w:rPr>
      </w:pPr>
      <w:r w:rsidDel="00000000" w:rsidR="00000000" w:rsidRPr="00000000">
        <w:rPr>
          <w:rtl w:val="0"/>
        </w:rPr>
      </w:r>
    </w:p>
    <w:tbl>
      <w:tblPr>
        <w:tblStyle w:val="Table1"/>
        <w:tblW w:w="1048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10"/>
        <w:gridCol w:w="1515"/>
        <w:gridCol w:w="1560"/>
        <w:tblGridChange w:id="0">
          <w:tblGrid>
            <w:gridCol w:w="7410"/>
            <w:gridCol w:w="1515"/>
            <w:gridCol w:w="1560"/>
          </w:tblGrid>
        </w:tblGridChange>
      </w:tblGrid>
      <w:tr>
        <w:trPr>
          <w:cantSplit w:val="0"/>
          <w:tblHeader w:val="0"/>
        </w:trPr>
        <w:tc>
          <w:tcPr>
            <w:shd w:fill="999c1b" w:val="clear"/>
            <w:vAlign w:val="bottom"/>
          </w:tcPr>
          <w:p w:rsidR="00000000" w:rsidDel="00000000" w:rsidP="00000000" w:rsidRDefault="00000000" w:rsidRPr="00000000" w14:paraId="00000037">
            <w:pPr>
              <w:spacing w:before="200" w:line="276" w:lineRule="auto"/>
              <w:rPr>
                <w:rFonts w:ascii="Arial" w:cs="Arial" w:eastAsia="Arial" w:hAnsi="Arial"/>
                <w:b w:val="1"/>
                <w:sz w:val="28"/>
                <w:szCs w:val="28"/>
              </w:rPr>
            </w:pPr>
            <w:r w:rsidDel="00000000" w:rsidR="00000000" w:rsidRPr="00000000">
              <w:rPr>
                <w:rFonts w:ascii="Arial" w:cs="Arial" w:eastAsia="Arial" w:hAnsi="Arial"/>
                <w:b w:val="1"/>
                <w:color w:val="ffffff"/>
                <w:sz w:val="28"/>
                <w:szCs w:val="28"/>
                <w:rtl w:val="0"/>
              </w:rPr>
              <w:t xml:space="preserve">Experience and Skills</w:t>
            </w:r>
            <w:r w:rsidDel="00000000" w:rsidR="00000000" w:rsidRPr="00000000">
              <w:rPr>
                <w:rtl w:val="0"/>
              </w:rPr>
            </w:r>
          </w:p>
        </w:tc>
        <w:tc>
          <w:tcPr>
            <w:shd w:fill="999c1b"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Essential</w:t>
            </w:r>
          </w:p>
        </w:tc>
        <w:tc>
          <w:tcPr>
            <w:shd w:fill="999c1b"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Desirable</w:t>
            </w:r>
          </w:p>
        </w:tc>
      </w:tr>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Experience working with disabled people and understanding of the barriers and enablers to participation in sport and physical activity.</w:t>
            </w: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Knowledge of inclusive practices in sport, health, or community settings.</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Excellent communication and interpersonal skills.</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Strong relationship-building abilities with individuals, partners, and community groups.</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Experience in community engagement, co-production, or partnership development.</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r>
      <w:tr>
        <w:trPr>
          <w:cantSplit w:val="0"/>
          <w:trHeight w:val="433.94531249999994"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Ability to work both independently and as part of a wider team.</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Commitment to equality, diversity, inclusion, and promoting disability-positive approaches.</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An understanding of how physical activity can support health, wellbeing, and inclusion for disabled people.</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Qualifications or training in sport, physical activity, health, or community development.</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r>
      <w:tr>
        <w:trPr>
          <w:cantSplit w:val="0"/>
          <w:tblHeader w:val="0"/>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Experience in event planning or project coordination.</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r>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Familiarity with local services, networks, and community organisations.</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X</w:t>
            </w:r>
            <w:r w:rsidDel="00000000" w:rsidR="00000000" w:rsidRPr="00000000">
              <w:rPr>
                <w:rtl w:val="0"/>
              </w:rPr>
            </w:r>
          </w:p>
        </w:tc>
      </w:tr>
      <w:tr>
        <w:trPr>
          <w:cantSplit w:val="0"/>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Knowledge of monitoring systems such as Upshot or other data tools.</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X</w:t>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Additional Information:</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This role may require occasional evening and weekend work.</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 valid driver’s license and access to transport may be required.</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 DBS check may be required.</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Induction, training, and ongoing support will be provided.</w:t>
      </w:r>
    </w:p>
    <w:p w:rsidR="00000000" w:rsidDel="00000000" w:rsidP="00000000" w:rsidRDefault="00000000" w:rsidRPr="00000000" w14:paraId="0000006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A">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C">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D">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E">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2">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tabs>
          <w:tab w:val="left" w:leader="none" w:pos="566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4">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5">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6">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7">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8">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9">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A">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B">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C">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D">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E">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F">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0">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1">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2">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3">
      <w:pPr>
        <w:tabs>
          <w:tab w:val="center" w:leader="none" w:pos="4513"/>
          <w:tab w:val="right" w:leader="none" w:pos="9026"/>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DIAL Barnsley, McLintocks Building, Summer Lane, Barnsley S70 2NZ</w:t>
      </w:r>
    </w:p>
    <w:p w:rsidR="00000000" w:rsidDel="00000000" w:rsidP="00000000" w:rsidRDefault="00000000" w:rsidRPr="00000000" w14:paraId="00000084">
      <w:pPr>
        <w:tabs>
          <w:tab w:val="center" w:leader="none" w:pos="4513"/>
          <w:tab w:val="right" w:leader="none" w:pos="9026"/>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T: 01226 240273  E: first.contact@dialbarnsley.org.uk</w:t>
      </w:r>
    </w:p>
    <w:p w:rsidR="00000000" w:rsidDel="00000000" w:rsidP="00000000" w:rsidRDefault="00000000" w:rsidRPr="00000000" w14:paraId="00000085">
      <w:pPr>
        <w:tabs>
          <w:tab w:val="center" w:leader="none" w:pos="4513"/>
          <w:tab w:val="right" w:leader="none" w:pos="9026"/>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www.dialbarnsley.org.uk</w:t>
      </w:r>
    </w:p>
    <w:p w:rsidR="00000000" w:rsidDel="00000000" w:rsidP="00000000" w:rsidRDefault="00000000" w:rsidRPr="00000000" w14:paraId="00000086">
      <w:pPr>
        <w:tabs>
          <w:tab w:val="center" w:leader="none" w:pos="4513"/>
          <w:tab w:val="right" w:leader="none" w:pos="902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7">
      <w:pPr>
        <w:tabs>
          <w:tab w:val="center" w:leader="none" w:pos="4513"/>
          <w:tab w:val="right" w:leader="none" w:pos="9026"/>
        </w:tabs>
        <w:spacing w:after="0" w:line="240" w:lineRule="auto"/>
        <w:jc w:val="center"/>
        <w:rPr>
          <w:rFonts w:ascii="Arial" w:cs="Arial" w:eastAsia="Arial" w:hAnsi="Arial"/>
          <w:sz w:val="28"/>
          <w:szCs w:val="28"/>
        </w:rPr>
      </w:pPr>
      <w:r w:rsidDel="00000000" w:rsidR="00000000" w:rsidRPr="00000000">
        <w:rPr>
          <w:rFonts w:ascii="Arial" w:cs="Arial" w:eastAsia="Arial" w:hAnsi="Arial"/>
          <w:rtl w:val="0"/>
        </w:rPr>
        <w:t xml:space="preserve">Registered Charity No. 1108982. A Company Limited by Guarantee No. 5234581</w:t>
      </w:r>
      <w:r w:rsidDel="00000000" w:rsidR="00000000" w:rsidRPr="00000000">
        <w:rPr>
          <w:rtl w:val="0"/>
        </w:rPr>
      </w:r>
    </w:p>
    <w:p w:rsidR="00000000" w:rsidDel="00000000" w:rsidP="00000000" w:rsidRDefault="00000000" w:rsidRPr="00000000" w14:paraId="00000088">
      <w:pPr>
        <w:tabs>
          <w:tab w:val="left" w:leader="none" w:pos="5664"/>
        </w:tabs>
        <w:rPr>
          <w:rFonts w:ascii="Arial" w:cs="Arial" w:eastAsia="Arial" w:hAnsi="Arial"/>
          <w:sz w:val="28"/>
          <w:szCs w:val="28"/>
        </w:rPr>
      </w:pPr>
      <w:r w:rsidDel="00000000" w:rsidR="00000000" w:rsidRPr="00000000">
        <w:rPr>
          <w:rtl w:val="0"/>
        </w:rPr>
      </w:r>
    </w:p>
    <w:sectPr>
      <w:headerReference r:id="rId7" w:type="first"/>
      <w:footerReference r:id="rId8" w:type="default"/>
      <w:pgSz w:h="16838" w:w="11906" w:orient="portrait"/>
      <w:pgMar w:bottom="567" w:top="1440" w:left="1440" w:right="1440" w:header="709"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Fonts w:ascii="Arial" w:cs="Arial" w:eastAsia="Arial" w:hAnsi="Arial"/>
        <w:i w:val="1"/>
        <w:sz w:val="28"/>
        <w:szCs w:val="28"/>
      </w:rPr>
      <w:drawing>
        <wp:inline distB="114300" distT="114300" distL="114300" distR="114300">
          <wp:extent cx="1239835" cy="699907"/>
          <wp:effectExtent b="0" l="0" r="0" t="0"/>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39835" cy="699907"/>
                  </a:xfrm>
                  <a:prstGeom prst="rect"/>
                  <a:ln/>
                </pic:spPr>
              </pic:pic>
            </a:graphicData>
          </a:graphic>
        </wp:inline>
      </w:drawing>
    </w: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-403218</wp:posOffset>
          </wp:positionH>
          <wp:positionV relativeFrom="topMargin">
            <wp:posOffset>410844</wp:posOffset>
          </wp:positionV>
          <wp:extent cx="2155825" cy="719455"/>
          <wp:effectExtent b="0" l="0" r="0" t="0"/>
          <wp:wrapSquare wrapText="bothSides" distB="0" distT="0" distL="114300" distR="114300"/>
          <wp:docPr descr="C:\Users\Acer Owner\Documents\DIAL-logo-RGB.png" id="5" name="image1.png"/>
          <a:graphic>
            <a:graphicData uri="http://schemas.openxmlformats.org/drawingml/2006/picture">
              <pic:pic>
                <pic:nvPicPr>
                  <pic:cNvPr descr="C:\Users\Acer Owner\Documents\DIAL-logo-RGB.png" id="0" name="image1.png"/>
                  <pic:cNvPicPr preferRelativeResize="0"/>
                </pic:nvPicPr>
                <pic:blipFill>
                  <a:blip r:embed="rId2"/>
                  <a:srcRect b="0" l="0" r="0" t="0"/>
                  <a:stretch>
                    <a:fillRect/>
                  </a:stretch>
                </pic:blipFill>
                <pic:spPr>
                  <a:xfrm>
                    <a:off x="0" y="0"/>
                    <a:ext cx="2155825" cy="7194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4711700</wp:posOffset>
          </wp:positionH>
          <wp:positionV relativeFrom="paragraph">
            <wp:posOffset>-31742</wp:posOffset>
          </wp:positionV>
          <wp:extent cx="1439545" cy="719455"/>
          <wp:effectExtent b="0" l="0" r="0" t="0"/>
          <wp:wrapSquare wrapText="bothSides" distB="0" distT="0" distL="114300" distR="114300"/>
          <wp:docPr descr="C:\Users\Acer Owner\Documents\DIAL-strapline-RGB.png" id="7" name="image2.png"/>
          <a:graphic>
            <a:graphicData uri="http://schemas.openxmlformats.org/drawingml/2006/picture">
              <pic:pic>
                <pic:nvPicPr>
                  <pic:cNvPr descr="C:\Users\Acer Owner\Documents\DIAL-strapline-RGB.png" id="0" name="image2.png"/>
                  <pic:cNvPicPr preferRelativeResize="0"/>
                </pic:nvPicPr>
                <pic:blipFill>
                  <a:blip r:embed="rId3"/>
                  <a:srcRect b="0" l="0" r="0" t="0"/>
                  <a:stretch>
                    <a:fillRect/>
                  </a:stretch>
                </pic:blipFill>
                <pic:spPr>
                  <a:xfrm>
                    <a:off x="0" y="0"/>
                    <a:ext cx="1439545" cy="719455"/>
                  </a:xfrm>
                  <a:prstGeom prst="rect"/>
                  <a:ln/>
                </pic:spPr>
              </pic:pic>
            </a:graphicData>
          </a:graphic>
        </wp:anchor>
      </w:drawing>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wP3+axJh9AP/jifyz78JVnzW9Q==">CgMxLjA4AHIhMXpiTWRJejZhTjJGY1BpZlNpdDFIOE5uSTFjQy1HcENI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